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ECF" w:rsidRPr="00444312" w:rsidRDefault="009A1ECF" w:rsidP="009A1ECF">
      <w:pPr>
        <w:pStyle w:val="1"/>
        <w:shd w:val="clear" w:color="auto" w:fill="FEFEFC"/>
        <w:spacing w:before="0" w:beforeAutospacing="0" w:after="0" w:afterAutospacing="0"/>
        <w:jc w:val="center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О.Мандельштам.</w:t>
      </w:r>
      <w:r w:rsidRPr="00444312">
        <w:rPr>
          <w:color w:val="333333"/>
          <w:sz w:val="24"/>
          <w:szCs w:val="24"/>
        </w:rPr>
        <w:t>Утро акмеизма</w:t>
      </w:r>
    </w:p>
    <w:p w:rsidR="009A1ECF" w:rsidRPr="00444312" w:rsidRDefault="009A1ECF" w:rsidP="009A1ECF">
      <w:pPr>
        <w:shd w:val="clear" w:color="auto" w:fill="FEFEFC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444312">
        <w:rPr>
          <w:rFonts w:ascii="Times New Roman" w:hAnsi="Times New Roman" w:cs="Times New Roman"/>
          <w:color w:val="333333"/>
          <w:sz w:val="24"/>
          <w:szCs w:val="24"/>
        </w:rPr>
        <w:br/>
      </w:r>
      <w:r>
        <w:rPr>
          <w:rFonts w:ascii="Times New Roman" w:hAnsi="Times New Roman" w:cs="Times New Roman"/>
          <w:color w:val="333333"/>
          <w:sz w:val="24"/>
          <w:szCs w:val="24"/>
        </w:rPr>
        <w:t>1</w:t>
      </w:r>
      <w:r w:rsidRPr="00444312">
        <w:rPr>
          <w:rFonts w:ascii="Times New Roman" w:hAnsi="Times New Roman" w:cs="Times New Roman"/>
          <w:color w:val="333333"/>
          <w:sz w:val="24"/>
          <w:szCs w:val="24"/>
        </w:rPr>
        <w:br/>
        <w:t>При огромном эмоциональном волнении, связанном с произведениями искусства, желательно, чтобы разговоры об искусстве отличались величайшей сдержанностью. Для огромного большинства произведение искусства соблазнительно, лишь поскольку в нем просвечивает мироощущение художника. Между тем мироощущение для художника орудие и средство, как молоток в руках каменщика, и единственно реальное — это само произведение.</w:t>
      </w:r>
      <w:r w:rsidRPr="00444312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44312">
        <w:rPr>
          <w:rFonts w:ascii="Times New Roman" w:hAnsi="Times New Roman" w:cs="Times New Roman"/>
          <w:color w:val="333333"/>
          <w:sz w:val="24"/>
          <w:szCs w:val="24"/>
        </w:rPr>
        <w:br/>
        <w:t>Существовать — высшее самолюбие художника. Он не хочет другого рая, кроме бытия, и когда ему говорят о действительности, он только горько усмехается, потому что знает бесконечно более убедительную действительность искусства. Зрелище математика, не задумываясь возводящего в квадрат какое-нибудь десятизначное число, наполняет нас некоторым удивлением. Но слишком часто мы упускаем из виду, что поэт возводит явление в десятизначную степень, и скромная внешность произведения искусства нередко обманывает нас относительно чудовищно-уплотненной реальности, которой оно обладает.</w:t>
      </w:r>
      <w:r w:rsidRPr="00444312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44312">
        <w:rPr>
          <w:rFonts w:ascii="Times New Roman" w:hAnsi="Times New Roman" w:cs="Times New Roman"/>
          <w:color w:val="333333"/>
          <w:sz w:val="24"/>
          <w:szCs w:val="24"/>
        </w:rPr>
        <w:br/>
        <w:t xml:space="preserve">Это реальность в поэзии — слово как таковое. Сейчас, например, излагая свою мысль по возможности в точной, но отнюдь не поэтической форме, я говорю, в сущности, сознанием) а не словом. Глухонемые отлично понимают друг друга, и железнодорожные семафоры выполняют весьма сложное назначение, не прибегая к помощи слова. Таким образом, если смысл считать содержанием, все остальное, что есть в слове, приходится считать простым механическим привеском, только затрудняющим быструю передачу мысли. Медленно рождалось «слово как таковое». </w:t>
      </w:r>
      <w:r w:rsidRPr="00444312">
        <w:rPr>
          <w:rFonts w:ascii="Times New Roman" w:hAnsi="Times New Roman" w:cs="Times New Roman"/>
          <w:color w:val="333333"/>
          <w:sz w:val="24"/>
          <w:szCs w:val="24"/>
        </w:rPr>
        <w:br/>
        <w:t>Для акмеистов сознательный смысл слова, Логос, такая же прекрасная форм</w:t>
      </w:r>
      <w:r>
        <w:rPr>
          <w:rFonts w:ascii="Times New Roman" w:hAnsi="Times New Roman" w:cs="Times New Roman"/>
          <w:color w:val="333333"/>
          <w:sz w:val="24"/>
          <w:szCs w:val="24"/>
        </w:rPr>
        <w:t>а, как музыка для символистов.</w:t>
      </w:r>
      <w:r>
        <w:rPr>
          <w:rFonts w:ascii="Times New Roman" w:hAnsi="Times New Roman" w:cs="Times New Roman"/>
          <w:color w:val="333333"/>
          <w:sz w:val="24"/>
          <w:szCs w:val="24"/>
        </w:rPr>
        <w:br/>
      </w:r>
      <w:r>
        <w:rPr>
          <w:rFonts w:ascii="Times New Roman" w:hAnsi="Times New Roman" w:cs="Times New Roman"/>
          <w:color w:val="333333"/>
          <w:sz w:val="24"/>
          <w:szCs w:val="24"/>
        </w:rPr>
        <w:br/>
        <w:t>2</w:t>
      </w:r>
      <w:r w:rsidRPr="00444312">
        <w:rPr>
          <w:rFonts w:ascii="Times New Roman" w:hAnsi="Times New Roman" w:cs="Times New Roman"/>
          <w:color w:val="333333"/>
          <w:sz w:val="24"/>
          <w:szCs w:val="24"/>
        </w:rPr>
        <w:br/>
        <w:t>Острие акмеизма — не стилет и не жало декадентства. Акмеизм — для тех, кто обуянный духом строительства, не отказывается малодушно от своей тяжести, а. радостно принимает ее, чтобы разбудить и использовать архитектурно спящие в ней силы. Зодчий говорит: я строю — значит, я прав. Сознание своей правоты нам дороже всего в поэзии, и, с презрением отбрасывая бирюльки футуристов, для которых нет высшего наслаждения, как зацепить вязальной спицей трудное слово, мы вводим готику в отношения слов, подобно тому как Себастьян Бах утвердил ее в музыке.</w:t>
      </w:r>
      <w:r w:rsidRPr="00444312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44312">
        <w:rPr>
          <w:rFonts w:ascii="Times New Roman" w:hAnsi="Times New Roman" w:cs="Times New Roman"/>
          <w:color w:val="333333"/>
          <w:sz w:val="24"/>
          <w:szCs w:val="24"/>
        </w:rPr>
        <w:br/>
        <w:t>Акмеисты с благоговением поднимают таинственный тютчевский камень и кла</w:t>
      </w:r>
      <w:r>
        <w:rPr>
          <w:rFonts w:ascii="Times New Roman" w:hAnsi="Times New Roman" w:cs="Times New Roman"/>
          <w:color w:val="333333"/>
          <w:sz w:val="24"/>
          <w:szCs w:val="24"/>
        </w:rPr>
        <w:t>дут его в основу своего здания.</w:t>
      </w:r>
      <w:r w:rsidRPr="00444312">
        <w:rPr>
          <w:rFonts w:ascii="Times New Roman" w:hAnsi="Times New Roman" w:cs="Times New Roman"/>
          <w:color w:val="333333"/>
          <w:sz w:val="24"/>
          <w:szCs w:val="24"/>
        </w:rPr>
        <w:br/>
        <w:t>Камень как бы возжаждал иного бытия. Он сам обнаружил скрытую в нем потенциально способность динамики — как бы попросился в «крестовый свод» — участвовать в радостном в</w:t>
      </w:r>
      <w:r>
        <w:rPr>
          <w:rFonts w:ascii="Times New Roman" w:hAnsi="Times New Roman" w:cs="Times New Roman"/>
          <w:color w:val="333333"/>
          <w:sz w:val="24"/>
          <w:szCs w:val="24"/>
        </w:rPr>
        <w:t>заимодействии себе подобных.</w:t>
      </w:r>
      <w:r>
        <w:rPr>
          <w:rFonts w:ascii="Times New Roman" w:hAnsi="Times New Roman" w:cs="Times New Roman"/>
          <w:color w:val="333333"/>
          <w:sz w:val="24"/>
          <w:szCs w:val="24"/>
        </w:rPr>
        <w:br/>
      </w:r>
      <w:r>
        <w:rPr>
          <w:rFonts w:ascii="Times New Roman" w:hAnsi="Times New Roman" w:cs="Times New Roman"/>
          <w:color w:val="333333"/>
          <w:sz w:val="24"/>
          <w:szCs w:val="24"/>
        </w:rPr>
        <w:br/>
        <w:t>3</w:t>
      </w:r>
      <w:r w:rsidRPr="00444312">
        <w:rPr>
          <w:rFonts w:ascii="Times New Roman" w:hAnsi="Times New Roman" w:cs="Times New Roman"/>
          <w:color w:val="333333"/>
          <w:sz w:val="24"/>
          <w:szCs w:val="24"/>
        </w:rPr>
        <w:br/>
        <w:t>Любите существование вещи больше самой вещи и свое бытие больше самих себя — вот высшая заповедь акмеизма.</w:t>
      </w:r>
    </w:p>
    <w:p w:rsidR="00061555" w:rsidRDefault="00061555"/>
    <w:sectPr w:rsidR="00061555" w:rsidSect="009A1E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compat/>
  <w:rsids>
    <w:rsidRoot w:val="009A1ECF"/>
    <w:rsid w:val="00061555"/>
    <w:rsid w:val="009A1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CF"/>
  </w:style>
  <w:style w:type="paragraph" w:styleId="1">
    <w:name w:val="heading 1"/>
    <w:basedOn w:val="a"/>
    <w:link w:val="10"/>
    <w:uiPriority w:val="9"/>
    <w:qFormat/>
    <w:rsid w:val="009A1E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1E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2229</Characters>
  <Application>Microsoft Office Word</Application>
  <DocSecurity>0</DocSecurity>
  <Lines>18</Lines>
  <Paragraphs>5</Paragraphs>
  <ScaleCrop>false</ScaleCrop>
  <Company>*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</cp:revision>
  <dcterms:created xsi:type="dcterms:W3CDTF">2017-02-08T10:25:00Z</dcterms:created>
  <dcterms:modified xsi:type="dcterms:W3CDTF">2017-02-08T10:26:00Z</dcterms:modified>
</cp:coreProperties>
</file>